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3E97" w14:textId="77777777" w:rsidR="00C35D42" w:rsidRDefault="00C35D42" w:rsidP="00731F1C"/>
    <w:p w14:paraId="2E3EAB49" w14:textId="77777777" w:rsidR="00C35D42" w:rsidRPr="00B3004D" w:rsidRDefault="00C35D42" w:rsidP="00C35D42">
      <w:pPr>
        <w:pStyle w:val="Header"/>
        <w:jc w:val="center"/>
        <w:rPr>
          <w:b/>
          <w:bCs/>
          <w:sz w:val="28"/>
          <w:szCs w:val="28"/>
        </w:rPr>
      </w:pPr>
      <w:r w:rsidRPr="00B3004D">
        <w:rPr>
          <w:b/>
          <w:bCs/>
          <w:sz w:val="28"/>
          <w:szCs w:val="28"/>
        </w:rPr>
        <w:t>Office on Aging and Non-Profit Organizations Contact Information</w:t>
      </w:r>
    </w:p>
    <w:p w14:paraId="5C3DEA58" w14:textId="77777777" w:rsidR="00C35D42" w:rsidRDefault="00C35D42" w:rsidP="00C35D42">
      <w:pPr>
        <w:pStyle w:val="Header"/>
      </w:pPr>
    </w:p>
    <w:p w14:paraId="353DDCEC" w14:textId="0D6E519F" w:rsidR="00C35D42" w:rsidRPr="00C35D42" w:rsidRDefault="00C35D42" w:rsidP="00C35D42">
      <w:pPr>
        <w:pStyle w:val="Header"/>
        <w:rPr>
          <w:b/>
          <w:bCs/>
          <w:u w:val="single"/>
        </w:rPr>
      </w:pPr>
      <w:r w:rsidRPr="00C35D42">
        <w:rPr>
          <w:b/>
          <w:bCs/>
          <w:u w:val="single"/>
        </w:rPr>
        <w:t>Office on Aging Call Center</w:t>
      </w:r>
    </w:p>
    <w:p w14:paraId="420AA8BD" w14:textId="69901C48" w:rsidR="00C35D42" w:rsidRDefault="00C35D42" w:rsidP="00C35D42">
      <w:pPr>
        <w:pStyle w:val="Header"/>
      </w:pPr>
      <w:r>
        <w:t>For information and assistance</w:t>
      </w:r>
      <w:r>
        <w:t xml:space="preserve"> </w:t>
      </w:r>
      <w:r>
        <w:t>714-480-6450</w:t>
      </w:r>
      <w:r>
        <w:t xml:space="preserve"> </w:t>
      </w:r>
      <w:r>
        <w:t>Monday-Friday 8am-5pm</w:t>
      </w:r>
    </w:p>
    <w:p w14:paraId="2DF82F8E" w14:textId="77777777" w:rsidR="00C35D42" w:rsidRDefault="00C35D42" w:rsidP="00C35D42">
      <w:pPr>
        <w:pStyle w:val="Header"/>
      </w:pPr>
      <w:r>
        <w:t>Call center referrals include, but are not limited to:</w:t>
      </w:r>
    </w:p>
    <w:p w14:paraId="25452CB6" w14:textId="77777777" w:rsidR="00C35D42" w:rsidRDefault="00C35D42" w:rsidP="00C35D42">
      <w:pPr>
        <w:pStyle w:val="Header"/>
        <w:ind w:left="720"/>
      </w:pPr>
      <w:r>
        <w:t>• Housing options</w:t>
      </w:r>
    </w:p>
    <w:p w14:paraId="69D0F896" w14:textId="77777777" w:rsidR="00C35D42" w:rsidRDefault="00C35D42" w:rsidP="00C35D42">
      <w:pPr>
        <w:pStyle w:val="Header"/>
        <w:ind w:left="720"/>
      </w:pPr>
      <w:r>
        <w:t>• Transportation</w:t>
      </w:r>
    </w:p>
    <w:p w14:paraId="10DD94B9" w14:textId="77777777" w:rsidR="00C35D42" w:rsidRDefault="00C35D42" w:rsidP="00C35D42">
      <w:pPr>
        <w:pStyle w:val="Header"/>
        <w:ind w:left="720"/>
      </w:pPr>
      <w:r>
        <w:t>• Food and nutrition program</w:t>
      </w:r>
    </w:p>
    <w:p w14:paraId="1F9F24D9" w14:textId="77777777" w:rsidR="00C35D42" w:rsidRDefault="00C35D42" w:rsidP="00C35D42">
      <w:pPr>
        <w:pStyle w:val="Header"/>
        <w:ind w:left="720"/>
      </w:pPr>
      <w:r>
        <w:t>• Caregiver services</w:t>
      </w:r>
    </w:p>
    <w:p w14:paraId="37554FAE" w14:textId="77777777" w:rsidR="00C35D42" w:rsidRDefault="00C35D42" w:rsidP="00C35D42">
      <w:pPr>
        <w:pStyle w:val="Header"/>
        <w:ind w:left="720"/>
      </w:pPr>
      <w:r>
        <w:t>• In-home care</w:t>
      </w:r>
    </w:p>
    <w:p w14:paraId="5EDE9E8D" w14:textId="77777777" w:rsidR="00C35D42" w:rsidRDefault="00C35D42" w:rsidP="00C35D42">
      <w:pPr>
        <w:pStyle w:val="Header"/>
        <w:ind w:left="720"/>
      </w:pPr>
      <w:r>
        <w:t>• Medicare/Medi-Cal information</w:t>
      </w:r>
    </w:p>
    <w:p w14:paraId="1D7566FC" w14:textId="77777777" w:rsidR="00C35D42" w:rsidRDefault="00C35D42" w:rsidP="00C35D42">
      <w:pPr>
        <w:pStyle w:val="Header"/>
        <w:ind w:left="720"/>
      </w:pPr>
      <w:r>
        <w:t>• Veteran’s services</w:t>
      </w:r>
    </w:p>
    <w:p w14:paraId="3BFC8A45" w14:textId="77777777" w:rsidR="00C35D42" w:rsidRDefault="00C35D42" w:rsidP="00C35D42">
      <w:pPr>
        <w:pStyle w:val="Header"/>
        <w:ind w:left="720"/>
      </w:pPr>
      <w:r>
        <w:t>• Community center information</w:t>
      </w:r>
    </w:p>
    <w:p w14:paraId="22F21719" w14:textId="77777777" w:rsidR="00C35D42" w:rsidRDefault="00C35D42" w:rsidP="00731F1C"/>
    <w:p w14:paraId="5FEF05EC" w14:textId="5899E4F9" w:rsidR="00731F1C" w:rsidRDefault="00731F1C" w:rsidP="00731F1C">
      <w:r>
        <w:t>Various non-profits providing services to older adults through the Office on Aging:</w:t>
      </w:r>
    </w:p>
    <w:p w14:paraId="026AFA4F" w14:textId="7BB9AA6A" w:rsidR="00731F1C" w:rsidRPr="00C35D42" w:rsidRDefault="00731F1C" w:rsidP="00731F1C">
      <w:pPr>
        <w:rPr>
          <w:b/>
          <w:bCs/>
          <w:u w:val="single"/>
        </w:rPr>
      </w:pPr>
      <w:r w:rsidRPr="00C35D42">
        <w:rPr>
          <w:b/>
          <w:bCs/>
          <w:u w:val="single"/>
        </w:rPr>
        <w:t>Meals on Wheels Program</w:t>
      </w:r>
      <w:r w:rsidR="00C35D42">
        <w:rPr>
          <w:b/>
          <w:bCs/>
          <w:u w:val="single"/>
        </w:rPr>
        <w:t xml:space="preserve"> </w:t>
      </w:r>
      <w:hyperlink r:id="rId6" w:history="1">
        <w:r w:rsidR="00C35D42" w:rsidRPr="009F42AB">
          <w:rPr>
            <w:rStyle w:val="Hyperlink"/>
          </w:rPr>
          <w:t>https://www.mealsonwheelsoc.org</w:t>
        </w:r>
      </w:hyperlink>
      <w:r w:rsidR="00C35D42">
        <w:rPr>
          <w:b/>
          <w:bCs/>
          <w:u w:val="single"/>
        </w:rPr>
        <w:t xml:space="preserve">  </w:t>
      </w:r>
      <w:r>
        <w:t>714-220-0224</w:t>
      </w:r>
    </w:p>
    <w:p w14:paraId="3758A19D" w14:textId="4F5E32CA" w:rsidR="00B7022B" w:rsidRDefault="00731F1C" w:rsidP="00731F1C">
      <w:r>
        <w:t>Helps homebound older adults live independently. It delivers three nutritious meals, covering</w:t>
      </w:r>
      <w:r w:rsidR="00C35D42">
        <w:t xml:space="preserve"> </w:t>
      </w:r>
      <w:r>
        <w:t>five days a week, to older adults in the north and central districts of Orange County who, without</w:t>
      </w:r>
      <w:r w:rsidR="00C35D42">
        <w:t xml:space="preserve"> </w:t>
      </w:r>
      <w:r>
        <w:t>these meals, would struggle with hunger and malnutrition.</w:t>
      </w:r>
    </w:p>
    <w:p w14:paraId="3B1AAE04" w14:textId="0D4F6948" w:rsidR="00731F1C" w:rsidRDefault="00731F1C" w:rsidP="00731F1C">
      <w:r>
        <w:t>Program participants must be aged sixty-plus and homebound due to illness, disability, or lack of</w:t>
      </w:r>
      <w:r w:rsidR="00C35D42">
        <w:t xml:space="preserve"> </w:t>
      </w:r>
      <w:r>
        <w:t>mobility.</w:t>
      </w:r>
    </w:p>
    <w:p w14:paraId="08F28591" w14:textId="6659D1E8" w:rsidR="00731F1C" w:rsidRDefault="00731F1C" w:rsidP="00731F1C">
      <w:r>
        <w:t>Beyond delivering meals to homebound seniors, volunteers often provide friendly conversation</w:t>
      </w:r>
      <w:r w:rsidR="00C35D42">
        <w:t xml:space="preserve"> </w:t>
      </w:r>
      <w:r>
        <w:t>while helping ensure the senior is thriving. If needed, the volunteer will secure help for the</w:t>
      </w:r>
      <w:r w:rsidR="00C35D42">
        <w:t xml:space="preserve"> </w:t>
      </w:r>
      <w:r>
        <w:t>senior, using available resources.</w:t>
      </w:r>
    </w:p>
    <w:p w14:paraId="08D16C00" w14:textId="1F7B0EA2" w:rsidR="00731F1C" w:rsidRPr="00C35D42" w:rsidRDefault="00731F1C" w:rsidP="00731F1C">
      <w:pPr>
        <w:rPr>
          <w:b/>
          <w:bCs/>
          <w:u w:val="single"/>
        </w:rPr>
      </w:pPr>
      <w:r w:rsidRPr="00C35D42">
        <w:rPr>
          <w:b/>
          <w:bCs/>
          <w:u w:val="single"/>
        </w:rPr>
        <w:t>Council on Aging</w:t>
      </w:r>
      <w:r w:rsidR="00C35D42">
        <w:rPr>
          <w:b/>
          <w:bCs/>
          <w:u w:val="single"/>
        </w:rPr>
        <w:t xml:space="preserve"> </w:t>
      </w:r>
      <w:hyperlink r:id="rId7" w:history="1">
        <w:r w:rsidR="00C35D42" w:rsidRPr="009F42AB">
          <w:rPr>
            <w:rStyle w:val="Hyperlink"/>
          </w:rPr>
          <w:t>www.coasc.org</w:t>
        </w:r>
      </w:hyperlink>
      <w:r w:rsidR="00C35D42">
        <w:rPr>
          <w:b/>
          <w:bCs/>
          <w:u w:val="single"/>
        </w:rPr>
        <w:t xml:space="preserve">  </w:t>
      </w:r>
      <w:r>
        <w:t>714-479-0107</w:t>
      </w:r>
    </w:p>
    <w:p w14:paraId="6FF07C0C" w14:textId="1958F8BB" w:rsidR="00731F1C" w:rsidRDefault="00731F1C" w:rsidP="00731F1C">
      <w:r>
        <w:t>Provides long-term care ombudsman services identified below and develops and implements</w:t>
      </w:r>
      <w:r w:rsidR="00C35D42">
        <w:t xml:space="preserve"> </w:t>
      </w:r>
      <w:r>
        <w:t>programs to prevent, identify, and address elder abuse.</w:t>
      </w:r>
    </w:p>
    <w:p w14:paraId="77D3D556" w14:textId="77777777" w:rsidR="00731F1C" w:rsidRDefault="00731F1C" w:rsidP="00731F1C">
      <w:r>
        <w:t>Long-term care ombudsmen are advocates for residents of nursing homes, board-and-care</w:t>
      </w:r>
    </w:p>
    <w:p w14:paraId="5F625D90" w14:textId="45F5E7AA" w:rsidR="00731F1C" w:rsidRDefault="00731F1C" w:rsidP="00731F1C">
      <w:r>
        <w:t>homes, and assisted living facilities. The Ombudsmen seek resolution of problems and advocate</w:t>
      </w:r>
      <w:r w:rsidR="00C35D42">
        <w:t xml:space="preserve"> </w:t>
      </w:r>
      <w:r>
        <w:t>for the rights of residents of long-term care facilities. The issues they advocate for may include,</w:t>
      </w:r>
      <w:r w:rsidR="00C35D42">
        <w:t xml:space="preserve"> </w:t>
      </w:r>
      <w:r>
        <w:t>but are not limited to</w:t>
      </w:r>
    </w:p>
    <w:p w14:paraId="5BAC4948" w14:textId="77777777" w:rsidR="00731F1C" w:rsidRDefault="00731F1C" w:rsidP="00C35D42">
      <w:pPr>
        <w:ind w:left="720"/>
      </w:pPr>
      <w:r>
        <w:t>• Violation of residents’ rights</w:t>
      </w:r>
    </w:p>
    <w:p w14:paraId="7B84458A" w14:textId="77777777" w:rsidR="00731F1C" w:rsidRDefault="00731F1C" w:rsidP="00C35D42">
      <w:pPr>
        <w:ind w:left="720"/>
      </w:pPr>
      <w:r>
        <w:t>• Violation of residents' dignity</w:t>
      </w:r>
    </w:p>
    <w:p w14:paraId="1C6CBF0A" w14:textId="77777777" w:rsidR="00731F1C" w:rsidRDefault="00731F1C" w:rsidP="00C35D42">
      <w:pPr>
        <w:ind w:left="720"/>
      </w:pPr>
      <w:r>
        <w:lastRenderedPageBreak/>
        <w:t>• Quality of care issues</w:t>
      </w:r>
    </w:p>
    <w:p w14:paraId="12E99882" w14:textId="77777777" w:rsidR="00731F1C" w:rsidRDefault="00731F1C" w:rsidP="00C35D42">
      <w:pPr>
        <w:ind w:left="720"/>
      </w:pPr>
      <w:r>
        <w:t>• Dietary issues</w:t>
      </w:r>
    </w:p>
    <w:p w14:paraId="268C7DB5" w14:textId="77777777" w:rsidR="00731F1C" w:rsidRDefault="00731F1C" w:rsidP="00C35D42">
      <w:pPr>
        <w:ind w:left="720"/>
      </w:pPr>
      <w:r>
        <w:t>• Abuse (financial, mental, physical, and verbal)</w:t>
      </w:r>
    </w:p>
    <w:p w14:paraId="76BF515B" w14:textId="77777777" w:rsidR="00731F1C" w:rsidRDefault="00731F1C" w:rsidP="00C35D42">
      <w:pPr>
        <w:ind w:left="720"/>
      </w:pPr>
      <w:r>
        <w:t>• Transfer or discharge of a resident</w:t>
      </w:r>
    </w:p>
    <w:p w14:paraId="24A110A3" w14:textId="77777777" w:rsidR="00731F1C" w:rsidRDefault="00731F1C" w:rsidP="00C35D42">
      <w:pPr>
        <w:ind w:left="720"/>
      </w:pPr>
      <w:r>
        <w:t>• Medical care, including therapy and rehabilitation issues</w:t>
      </w:r>
    </w:p>
    <w:p w14:paraId="52080B5D" w14:textId="77777777" w:rsidR="00731F1C" w:rsidRDefault="00731F1C" w:rsidP="00C35D42">
      <w:pPr>
        <w:ind w:left="720"/>
      </w:pPr>
      <w:r>
        <w:t>The Council on Aging also provides the following services:</w:t>
      </w:r>
    </w:p>
    <w:p w14:paraId="19A8D9EF" w14:textId="77777777" w:rsidR="00731F1C" w:rsidRDefault="00731F1C" w:rsidP="00C35D42">
      <w:pPr>
        <w:ind w:left="720"/>
      </w:pPr>
      <w:r>
        <w:t>• Health Insurance Counseling and Advocacy Program (HICAP) advises Medicare</w:t>
      </w:r>
    </w:p>
    <w:p w14:paraId="64E39F5F" w14:textId="7DBD75EB" w:rsidR="00731F1C" w:rsidRDefault="00731F1C" w:rsidP="00C35D42">
      <w:pPr>
        <w:ind w:left="720"/>
      </w:pPr>
      <w:r>
        <w:t>beneficiaries on coverage options and health insurance issues.</w:t>
      </w:r>
    </w:p>
    <w:p w14:paraId="012218FF" w14:textId="77777777" w:rsidR="00731F1C" w:rsidRDefault="00731F1C" w:rsidP="00731F1C">
      <w:r>
        <w:t>Friendly Visitor Program provides weekly contact with fragile and disabled older adults.</w:t>
      </w:r>
    </w:p>
    <w:p w14:paraId="1425AA5C" w14:textId="77777777" w:rsidR="00731F1C" w:rsidRDefault="00731F1C" w:rsidP="00731F1C">
      <w:r>
        <w:t>This occurs through home and telephone visits. This program identifies needs and offers</w:t>
      </w:r>
    </w:p>
    <w:p w14:paraId="040535FC" w14:textId="77777777" w:rsidR="00731F1C" w:rsidRDefault="00731F1C" w:rsidP="00731F1C">
      <w:r>
        <w:t>assistance in acquiring needed health and social resources.</w:t>
      </w:r>
    </w:p>
    <w:p w14:paraId="07FAC0A0" w14:textId="744B1935" w:rsidR="00731F1C" w:rsidRDefault="00731F1C" w:rsidP="00C35D42">
      <w:pPr>
        <w:ind w:left="720"/>
      </w:pPr>
      <w:r>
        <w:t xml:space="preserve">• Medicare Improvement for Patients and Providers Act (MIPPA) educates and assists </w:t>
      </w:r>
      <w:r w:rsidR="00C35D42">
        <w:t>low-income</w:t>
      </w:r>
      <w:r>
        <w:t xml:space="preserve"> seniors in applying for programs that help pay their Medicare costs and conducts</w:t>
      </w:r>
      <w:r w:rsidR="00C35D42">
        <w:t xml:space="preserve"> </w:t>
      </w:r>
      <w:r>
        <w:t>outreach activities aimed at preventing disease and promoting wellness.</w:t>
      </w:r>
    </w:p>
    <w:p w14:paraId="0A27BCC1" w14:textId="7444CFC0" w:rsidR="00731F1C" w:rsidRDefault="00731F1C" w:rsidP="00C35D42">
      <w:pPr>
        <w:ind w:left="720"/>
      </w:pPr>
      <w:r>
        <w:t>• Improves access to preventative and mental health services, low-income benefits, and</w:t>
      </w:r>
      <w:r w:rsidR="00C35D42">
        <w:t xml:space="preserve"> </w:t>
      </w:r>
      <w:r>
        <w:t>healthcare and medication access for older adults.</w:t>
      </w:r>
    </w:p>
    <w:p w14:paraId="5D5CD4B3" w14:textId="31030FCE" w:rsidR="00731F1C" w:rsidRDefault="00731F1C" w:rsidP="00C35D42">
      <w:pPr>
        <w:ind w:left="720"/>
      </w:pPr>
      <w:r>
        <w:t>• Smile Makers provides wrapped gifts to senior long-term care residents without family</w:t>
      </w:r>
      <w:r w:rsidR="00C35D42">
        <w:t xml:space="preserve"> </w:t>
      </w:r>
      <w:r>
        <w:t>and friends who would otherwise be forgotten during the holidays.</w:t>
      </w:r>
    </w:p>
    <w:p w14:paraId="25174B73" w14:textId="4C9A69F0" w:rsidR="00731F1C" w:rsidRDefault="00731F1C" w:rsidP="00731F1C">
      <w:r w:rsidRPr="00C35D42">
        <w:rPr>
          <w:b/>
          <w:bCs/>
          <w:u w:val="single"/>
        </w:rPr>
        <w:t>Dayle McIntosh Center</w:t>
      </w:r>
      <w:r w:rsidR="00C35D42">
        <w:t xml:space="preserve"> </w:t>
      </w:r>
      <w:hyperlink r:id="rId8" w:history="1">
        <w:r w:rsidR="00C35D42" w:rsidRPr="009F42AB">
          <w:rPr>
            <w:rStyle w:val="Hyperlink"/>
          </w:rPr>
          <w:t>https://daylemc.org</w:t>
        </w:r>
      </w:hyperlink>
      <w:r w:rsidR="00C35D42">
        <w:t xml:space="preserve">  </w:t>
      </w:r>
      <w:r>
        <w:t>714-621-3300</w:t>
      </w:r>
    </w:p>
    <w:p w14:paraId="7D9D8130" w14:textId="1E828266" w:rsidR="00731F1C" w:rsidRDefault="00731F1C" w:rsidP="00731F1C">
      <w:r>
        <w:t>The Aging and Disability Resource Connection (ADRC) is a partnership between the Office on</w:t>
      </w:r>
      <w:r w:rsidR="00C35D42">
        <w:t xml:space="preserve"> </w:t>
      </w:r>
      <w:r>
        <w:t>Aging and the Dayle McIntosh Center, which provides oversight and support to older adults and</w:t>
      </w:r>
      <w:r w:rsidR="00C35D42">
        <w:t xml:space="preserve"> </w:t>
      </w:r>
      <w:r>
        <w:t>people with disabilities so that they can live independently and avoid being institutionalized.</w:t>
      </w:r>
    </w:p>
    <w:p w14:paraId="1A7A2660" w14:textId="5DDEAC12" w:rsidR="00731F1C" w:rsidRDefault="00731F1C" w:rsidP="00731F1C">
      <w:r w:rsidRPr="00C35D42">
        <w:rPr>
          <w:b/>
          <w:bCs/>
          <w:u w:val="single"/>
        </w:rPr>
        <w:t>Community Action Partnership of Orange County</w:t>
      </w:r>
      <w:r w:rsidR="00C35D42">
        <w:t xml:space="preserve"> </w:t>
      </w:r>
      <w:hyperlink r:id="rId9" w:history="1">
        <w:r w:rsidR="00C35D42" w:rsidRPr="009F42AB">
          <w:rPr>
            <w:rStyle w:val="Hyperlink"/>
          </w:rPr>
          <w:t>https://www.capoc.org</w:t>
        </w:r>
      </w:hyperlink>
      <w:r w:rsidR="00C35D42">
        <w:t xml:space="preserve"> </w:t>
      </w:r>
    </w:p>
    <w:p w14:paraId="5B1F01CC" w14:textId="77777777" w:rsidR="00731F1C" w:rsidRDefault="00731F1C" w:rsidP="00731F1C">
      <w:r>
        <w:t>714-897-6670</w:t>
      </w:r>
    </w:p>
    <w:p w14:paraId="3E83210C" w14:textId="1158CB00" w:rsidR="00731F1C" w:rsidRDefault="00731F1C" w:rsidP="00731F1C">
      <w:r>
        <w:t>Provides residential repairs and minor home modifications that are not available under other</w:t>
      </w:r>
      <w:r w:rsidR="00C35D42">
        <w:t xml:space="preserve"> </w:t>
      </w:r>
      <w:r>
        <w:t xml:space="preserve">programs and are necessary to assist the ability of older individuals to remain at </w:t>
      </w:r>
      <w:r>
        <w:lastRenderedPageBreak/>
        <w:t>home.</w:t>
      </w:r>
      <w:r w:rsidR="00C35D42">
        <w:t xml:space="preserve"> </w:t>
      </w:r>
      <w:r>
        <w:t>Also provides nutrition and obesity prevention programs for older adults aged sixty-plus.</w:t>
      </w:r>
    </w:p>
    <w:p w14:paraId="78FD71BC" w14:textId="0C46F769" w:rsidR="00731F1C" w:rsidRDefault="00731F1C" w:rsidP="00731F1C">
      <w:proofErr w:type="spellStart"/>
      <w:r w:rsidRPr="00C35D42">
        <w:rPr>
          <w:b/>
          <w:bCs/>
          <w:u w:val="single"/>
        </w:rPr>
        <w:t>Abrazar</w:t>
      </w:r>
      <w:proofErr w:type="spellEnd"/>
      <w:r w:rsidRPr="00C35D42">
        <w:rPr>
          <w:b/>
          <w:bCs/>
          <w:u w:val="single"/>
        </w:rPr>
        <w:t>, Inc</w:t>
      </w:r>
      <w:r>
        <w:t>.</w:t>
      </w:r>
      <w:r w:rsidR="00C35D42">
        <w:t xml:space="preserve"> </w:t>
      </w:r>
      <w:hyperlink r:id="rId10" w:history="1">
        <w:r w:rsidR="00C35D42" w:rsidRPr="009F42AB">
          <w:rPr>
            <w:rStyle w:val="Hyperlink"/>
          </w:rPr>
          <w:t>https://www.abrazarinc.com</w:t>
        </w:r>
      </w:hyperlink>
      <w:r w:rsidR="00C35D42">
        <w:t xml:space="preserve"> </w:t>
      </w:r>
      <w:r>
        <w:t>714-893-3581</w:t>
      </w:r>
    </w:p>
    <w:p w14:paraId="7D0B17A5" w14:textId="1BBB95E3" w:rsidR="00731F1C" w:rsidRDefault="00731F1C" w:rsidP="00731F1C">
      <w:r>
        <w:t>Coordinates transportation for senior non-emergency medical-related needs, such as dialysis and</w:t>
      </w:r>
      <w:r w:rsidR="00C35D42">
        <w:t xml:space="preserve"> </w:t>
      </w:r>
      <w:r>
        <w:t>chemotherapy, for adults aged sixty-plus who lack other transportation options.</w:t>
      </w:r>
    </w:p>
    <w:p w14:paraId="3DA34840" w14:textId="6CFF5CDF" w:rsidR="00731F1C" w:rsidRDefault="00731F1C" w:rsidP="00731F1C">
      <w:r w:rsidRPr="00C35D42">
        <w:rPr>
          <w:b/>
          <w:bCs/>
          <w:u w:val="single"/>
        </w:rPr>
        <w:t>St. Jude Hospital, Inc.</w:t>
      </w:r>
      <w:r>
        <w:t xml:space="preserve"> </w:t>
      </w:r>
      <w:hyperlink r:id="rId11" w:history="1">
        <w:r w:rsidR="00C35D42" w:rsidRPr="009F42AB">
          <w:rPr>
            <w:rStyle w:val="Hyperlink"/>
          </w:rPr>
          <w:t>https://www.providence.org</w:t>
        </w:r>
      </w:hyperlink>
      <w:r w:rsidR="00C35D42">
        <w:t xml:space="preserve"> </w:t>
      </w:r>
      <w:r>
        <w:t>714-871-3280</w:t>
      </w:r>
    </w:p>
    <w:p w14:paraId="35855331" w14:textId="75F4B767" w:rsidR="00731F1C" w:rsidRDefault="00731F1C" w:rsidP="00731F1C">
      <w:r>
        <w:t>Provides support groups and counseling to older adults, family members, and unpaid caregivers,</w:t>
      </w:r>
      <w:r w:rsidR="00C35D42">
        <w:t xml:space="preserve"> </w:t>
      </w:r>
      <w:r>
        <w:t>as well as short-term relief for primary caregivers</w:t>
      </w:r>
    </w:p>
    <w:p w14:paraId="6040908F" w14:textId="1C41597C" w:rsidR="00731F1C" w:rsidRDefault="00731F1C" w:rsidP="00731F1C">
      <w:r w:rsidRPr="00C35D42">
        <w:rPr>
          <w:b/>
          <w:bCs/>
          <w:u w:val="single"/>
        </w:rPr>
        <w:t>Get Set Up, Inc</w:t>
      </w:r>
      <w:r w:rsidR="00C35D42">
        <w:t xml:space="preserve">  </w:t>
      </w:r>
      <w:hyperlink r:id="rId12" w:history="1">
        <w:r w:rsidR="00C35D42" w:rsidRPr="009F42AB">
          <w:rPr>
            <w:rStyle w:val="Hyperlink"/>
          </w:rPr>
          <w:t>https://www.getsetup.io/partner/oc</w:t>
        </w:r>
      </w:hyperlink>
      <w:r w:rsidR="00C35D42">
        <w:t xml:space="preserve"> </w:t>
      </w:r>
      <w:r>
        <w:t>888-559-1614</w:t>
      </w:r>
    </w:p>
    <w:p w14:paraId="3A4C7081" w14:textId="6D7AD182" w:rsidR="00731F1C" w:rsidRDefault="00731F1C" w:rsidP="00731F1C">
      <w:r>
        <w:t>Offers online classes on various subjects for adults over the age of sixty in Orange County. This</w:t>
      </w:r>
      <w:r w:rsidR="00C35D42">
        <w:t xml:space="preserve"> </w:t>
      </w:r>
      <w:r>
        <w:t>includes a class on how to use the internet and other technology devices.</w:t>
      </w:r>
    </w:p>
    <w:p w14:paraId="1582990B" w14:textId="369CBF9B" w:rsidR="00731F1C" w:rsidRDefault="00731F1C" w:rsidP="00731F1C">
      <w:r w:rsidRPr="00C35D42">
        <w:rPr>
          <w:b/>
          <w:bCs/>
          <w:u w:val="single"/>
        </w:rPr>
        <w:t>Hope Community Services</w:t>
      </w:r>
      <w:r w:rsidR="00C35D42">
        <w:t xml:space="preserve"> </w:t>
      </w:r>
      <w:hyperlink r:id="rId13" w:history="1">
        <w:r w:rsidR="00C35D42" w:rsidRPr="009F42AB">
          <w:rPr>
            <w:rStyle w:val="Hyperlink"/>
          </w:rPr>
          <w:t>https://giveushope.org</w:t>
        </w:r>
      </w:hyperlink>
      <w:r w:rsidR="00C35D42">
        <w:t xml:space="preserve"> </w:t>
      </w:r>
      <w:r>
        <w:t>714-265-1181</w:t>
      </w:r>
    </w:p>
    <w:p w14:paraId="4E35F5F7" w14:textId="77777777" w:rsidR="00731F1C" w:rsidRDefault="00731F1C" w:rsidP="00731F1C">
      <w:r>
        <w:t>Provides a food pantry and English as a Second Language classes.</w:t>
      </w:r>
    </w:p>
    <w:p w14:paraId="0313C03E" w14:textId="1C335E58" w:rsidR="00731F1C" w:rsidRDefault="00731F1C" w:rsidP="00731F1C">
      <w:r w:rsidRPr="00C35D42">
        <w:rPr>
          <w:b/>
          <w:bCs/>
          <w:u w:val="single"/>
        </w:rPr>
        <w:t>Alzheimer’s Family Center</w:t>
      </w:r>
      <w:r w:rsidR="00C35D42">
        <w:t xml:space="preserve"> </w:t>
      </w:r>
      <w:hyperlink r:id="rId14" w:history="1">
        <w:r w:rsidR="00C35D42" w:rsidRPr="009F42AB">
          <w:rPr>
            <w:rStyle w:val="Hyperlink"/>
          </w:rPr>
          <w:t>https://afscenter.org</w:t>
        </w:r>
      </w:hyperlink>
      <w:r w:rsidR="00C35D42">
        <w:t xml:space="preserve"> </w:t>
      </w:r>
      <w:r>
        <w:t>714-593-9630</w:t>
      </w:r>
    </w:p>
    <w:p w14:paraId="779AB9AB" w14:textId="301DEE7C" w:rsidR="00731F1C" w:rsidRDefault="00731F1C" w:rsidP="00731F1C">
      <w:r>
        <w:t>Provides information and referrals for memory loss, dementia, Alzheimer’s, and related medical</w:t>
      </w:r>
      <w:r w:rsidR="00C35D42">
        <w:t xml:space="preserve"> </w:t>
      </w:r>
      <w:r>
        <w:t>issues.</w:t>
      </w:r>
    </w:p>
    <w:p w14:paraId="70F796BC" w14:textId="1990F612" w:rsidR="00731F1C" w:rsidRDefault="00731F1C" w:rsidP="00731F1C">
      <w:r w:rsidRPr="00C35D42">
        <w:rPr>
          <w:b/>
          <w:bCs/>
          <w:u w:val="single"/>
        </w:rPr>
        <w:t>Age Well Senior Services</w:t>
      </w:r>
      <w:r w:rsidR="00C35D42">
        <w:t xml:space="preserve"> </w:t>
      </w:r>
      <w:hyperlink r:id="rId15" w:history="1">
        <w:r w:rsidR="00C35D42" w:rsidRPr="009F42AB">
          <w:rPr>
            <w:rStyle w:val="Hyperlink"/>
          </w:rPr>
          <w:t>https://agewellseniorservices.org</w:t>
        </w:r>
      </w:hyperlink>
      <w:r w:rsidR="00C35D42">
        <w:t xml:space="preserve"> </w:t>
      </w:r>
      <w:r>
        <w:t>949-855-8033</w:t>
      </w:r>
    </w:p>
    <w:p w14:paraId="0E6595B8" w14:textId="1AB20495" w:rsidR="00731F1C" w:rsidRDefault="00731F1C" w:rsidP="00731F1C">
      <w:r>
        <w:t>Delivers nutritious meals through Meals on Wheels to older adults who are living at home with</w:t>
      </w:r>
      <w:r w:rsidR="00C35D42">
        <w:t xml:space="preserve"> </w:t>
      </w:r>
      <w:r>
        <w:t>little or no assistance in the south district of the County. They provide three meals a day, five</w:t>
      </w:r>
      <w:r w:rsidR="00C35D42">
        <w:t xml:space="preserve"> </w:t>
      </w:r>
      <w:r>
        <w:t>days a week.</w:t>
      </w:r>
    </w:p>
    <w:p w14:paraId="52575602" w14:textId="03A901C3" w:rsidR="00731F1C" w:rsidRDefault="00731F1C" w:rsidP="00731F1C">
      <w:r>
        <w:t>Age Well’s senior centers provide lunch five days a week by reservation for those residing in</w:t>
      </w:r>
      <w:r w:rsidR="00C35D42">
        <w:t xml:space="preserve"> </w:t>
      </w:r>
      <w:r>
        <w:t>South Orange County. Age Well also provides non-emergency medical transportation scheduled</w:t>
      </w:r>
      <w:r w:rsidR="00C35D42">
        <w:t xml:space="preserve"> </w:t>
      </w:r>
      <w:r>
        <w:t>at least five business days in advance.</w:t>
      </w:r>
    </w:p>
    <w:sectPr w:rsidR="00731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F9464" w14:textId="77777777" w:rsidR="00E80825" w:rsidRDefault="00E80825" w:rsidP="00731F1C">
      <w:pPr>
        <w:spacing w:after="0" w:line="240" w:lineRule="auto"/>
      </w:pPr>
      <w:r>
        <w:separator/>
      </w:r>
    </w:p>
  </w:endnote>
  <w:endnote w:type="continuationSeparator" w:id="0">
    <w:p w14:paraId="02623223" w14:textId="77777777" w:rsidR="00E80825" w:rsidRDefault="00E80825" w:rsidP="00731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518DA" w14:textId="77777777" w:rsidR="00E80825" w:rsidRDefault="00E80825" w:rsidP="00731F1C">
      <w:pPr>
        <w:spacing w:after="0" w:line="240" w:lineRule="auto"/>
      </w:pPr>
      <w:r>
        <w:separator/>
      </w:r>
    </w:p>
  </w:footnote>
  <w:footnote w:type="continuationSeparator" w:id="0">
    <w:p w14:paraId="613AA9FB" w14:textId="77777777" w:rsidR="00E80825" w:rsidRDefault="00E80825" w:rsidP="00731F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1C"/>
    <w:rsid w:val="000A0E89"/>
    <w:rsid w:val="001874A9"/>
    <w:rsid w:val="00472A96"/>
    <w:rsid w:val="0050444D"/>
    <w:rsid w:val="006454A2"/>
    <w:rsid w:val="00731F1C"/>
    <w:rsid w:val="00B3004D"/>
    <w:rsid w:val="00B7022B"/>
    <w:rsid w:val="00BD7084"/>
    <w:rsid w:val="00C35D42"/>
    <w:rsid w:val="00CE591A"/>
    <w:rsid w:val="00E8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3635"/>
  <w15:chartTrackingRefBased/>
  <w15:docId w15:val="{D3763229-15A3-4FEE-B638-7704B035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F1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F1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F1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F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F1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F1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F1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F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F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F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F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F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F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F1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F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F1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F1C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F1C"/>
  </w:style>
  <w:style w:type="paragraph" w:styleId="Footer">
    <w:name w:val="footer"/>
    <w:basedOn w:val="Normal"/>
    <w:link w:val="FooterChar"/>
    <w:uiPriority w:val="99"/>
    <w:unhideWhenUsed/>
    <w:rsid w:val="00731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F1C"/>
  </w:style>
  <w:style w:type="character" w:styleId="Hyperlink">
    <w:name w:val="Hyperlink"/>
    <w:basedOn w:val="DefaultParagraphFont"/>
    <w:uiPriority w:val="99"/>
    <w:unhideWhenUsed/>
    <w:rsid w:val="00C35D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ylemc.org" TargetMode="External"/><Relationship Id="rId13" Type="http://schemas.openxmlformats.org/officeDocument/2006/relationships/hyperlink" Target="https://giveushope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asc.org" TargetMode="External"/><Relationship Id="rId12" Type="http://schemas.openxmlformats.org/officeDocument/2006/relationships/hyperlink" Target="https://www.getsetup.io/partner/o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mealsonwheelsoc.org" TargetMode="External"/><Relationship Id="rId11" Type="http://schemas.openxmlformats.org/officeDocument/2006/relationships/hyperlink" Target="https://www.providence.or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agewellseniorservices.org" TargetMode="External"/><Relationship Id="rId10" Type="http://schemas.openxmlformats.org/officeDocument/2006/relationships/hyperlink" Target="https://www.abrazarinc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poc.org" TargetMode="External"/><Relationship Id="rId14" Type="http://schemas.openxmlformats.org/officeDocument/2006/relationships/hyperlink" Target="https://afscen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Massetti</dc:creator>
  <cp:keywords/>
  <dc:description/>
  <cp:lastModifiedBy>Dominic Massetti</cp:lastModifiedBy>
  <cp:revision>2</cp:revision>
  <dcterms:created xsi:type="dcterms:W3CDTF">2025-07-30T16:38:00Z</dcterms:created>
  <dcterms:modified xsi:type="dcterms:W3CDTF">2025-07-30T16:59:00Z</dcterms:modified>
</cp:coreProperties>
</file>